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75" w:beforeAutospacing="0" w:after="75" w:afterAutospacing="0"/>
        <w:ind w:left="0" w:right="0" w:firstLine="645"/>
        <w:jc w:val="center"/>
        <w:rPr>
          <w:rFonts w:hint="eastAsia" w:ascii="方正小标宋简体" w:hAnsi="方正小标宋简体" w:eastAsia="方正小标宋简体" w:cs="方正小标宋简体"/>
          <w:i w:val="0"/>
          <w:iCs w:val="0"/>
          <w:caps w:val="0"/>
          <w:color w:val="333333"/>
          <w:spacing w:val="0"/>
          <w:sz w:val="36"/>
          <w:szCs w:val="36"/>
        </w:rPr>
      </w:pPr>
      <w:r>
        <w:rPr>
          <w:rFonts w:hint="eastAsia" w:ascii="方正小标宋简体" w:hAnsi="方正小标宋简体" w:eastAsia="方正小标宋简体" w:cs="方正小标宋简体"/>
          <w:i w:val="0"/>
          <w:iCs w:val="0"/>
          <w:caps w:val="0"/>
          <w:color w:val="333333"/>
          <w:spacing w:val="0"/>
          <w:sz w:val="36"/>
          <w:szCs w:val="36"/>
        </w:rPr>
        <w:t>宜</w:t>
      </w:r>
      <w:bookmarkStart w:id="0" w:name="_GoBack"/>
      <w:bookmarkEnd w:id="0"/>
      <w:r>
        <w:rPr>
          <w:rFonts w:hint="eastAsia" w:ascii="方正小标宋简体" w:hAnsi="方正小标宋简体" w:eastAsia="方正小标宋简体" w:cs="方正小标宋简体"/>
          <w:i w:val="0"/>
          <w:iCs w:val="0"/>
          <w:caps w:val="0"/>
          <w:color w:val="333333"/>
          <w:spacing w:val="0"/>
          <w:sz w:val="36"/>
          <w:szCs w:val="36"/>
        </w:rPr>
        <w:t>春市林业局2019年政府信息公开年度报告</w:t>
      </w:r>
    </w:p>
    <w:p>
      <w:pPr>
        <w:pStyle w:val="2"/>
        <w:keepNext w:val="0"/>
        <w:keepLines w:val="0"/>
        <w:widowControl/>
        <w:suppressLineNumbers w:val="0"/>
        <w:spacing w:before="75" w:beforeAutospacing="0" w:after="75" w:afterAutospacing="0"/>
        <w:ind w:left="0" w:right="0" w:firstLine="645"/>
        <w:rPr>
          <w:rFonts w:ascii="微软雅黑" w:hAnsi="微软雅黑" w:eastAsia="微软雅黑" w:cs="微软雅黑"/>
          <w:i w:val="0"/>
          <w:iCs w:val="0"/>
          <w:caps w:val="0"/>
          <w:color w:val="000000"/>
          <w:spacing w:val="0"/>
          <w:sz w:val="27"/>
          <w:szCs w:val="27"/>
        </w:rPr>
      </w:pPr>
      <w:r>
        <w:rPr>
          <w:rFonts w:ascii="仿宋_GB2312" w:hAnsi="仿宋_GB2312" w:eastAsia="仿宋_GB2312" w:cs="仿宋_GB2312"/>
          <w:i w:val="0"/>
          <w:iCs w:val="0"/>
          <w:caps w:val="0"/>
          <w:color w:val="333333"/>
          <w:spacing w:val="0"/>
          <w:sz w:val="31"/>
          <w:szCs w:val="31"/>
        </w:rPr>
        <w:t>本报告依据《中华人民共和国政府信息公开条例》和《国务院办公厅政</w:t>
      </w:r>
      <w:r>
        <w:rPr>
          <w:rFonts w:hint="eastAsia" w:ascii="仿宋_GB2312" w:hAnsi="仿宋_GB2312" w:eastAsia="仿宋_GB2312" w:cs="仿宋_GB2312"/>
          <w:i w:val="0"/>
          <w:iCs w:val="0"/>
          <w:caps w:val="0"/>
          <w:color w:val="333333"/>
          <w:spacing w:val="0"/>
          <w:sz w:val="31"/>
          <w:szCs w:val="31"/>
          <w:shd w:val="clear" w:fill="FFFFFF"/>
        </w:rPr>
        <w:t>府信息与政务公开办公室关于政府信息公开工作年度报告有关事项的通知》要求，由宜春市林业局结合有关统计数据编制。本年度报告中所列数据的统计期限自2019年1月1日起至2019年12月31日止。全文包括总体情况、主动公开政府信息情况、收到和处理政府信息公开申请情况、政府信息公开行政复议行政诉讼情况、存在的主要问题及改进情况、其他需要报告的事项。本年度报告的电子版可以从宜春林业信息网（http://ly.yichun.gov.cn/）下载。如对本报告有任何疑问，请与宜春市林业局联系（地址：宜春市袁州区宜阳大厦中座1622室，电话：0795-3223725，邮编：336000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both"/>
        <w:rPr>
          <w:rFonts w:hint="eastAsia" w:ascii="微软雅黑" w:hAnsi="微软雅黑" w:eastAsia="微软雅黑" w:cs="微软雅黑"/>
          <w:i w:val="0"/>
          <w:iCs w:val="0"/>
          <w:caps w:val="0"/>
          <w:color w:val="000000"/>
          <w:spacing w:val="0"/>
          <w:sz w:val="27"/>
          <w:szCs w:val="27"/>
        </w:rPr>
      </w:pPr>
      <w:r>
        <w:rPr>
          <w:rStyle w:val="5"/>
          <w:rFonts w:hint="eastAsia" w:ascii="仿宋_GB2312" w:hAnsi="仿宋_GB2312" w:eastAsia="仿宋_GB2312" w:cs="仿宋_GB2312"/>
          <w:i w:val="0"/>
          <w:iCs w:val="0"/>
          <w:caps w:val="0"/>
          <w:color w:val="000000"/>
          <w:spacing w:val="0"/>
          <w:sz w:val="31"/>
          <w:szCs w:val="31"/>
          <w:bdr w:val="none" w:color="auto" w:sz="0" w:space="0"/>
        </w:rPr>
        <w:t>一、总体情况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4"/>
          <w:szCs w:val="24"/>
          <w:bdr w:val="none" w:color="auto" w:sz="0" w:space="0"/>
        </w:rPr>
        <w:t>​</w:t>
      </w:r>
      <w:r>
        <w:rPr>
          <w:rFonts w:hint="eastAsia" w:ascii="仿宋_GB2312" w:hAnsi="仿宋_GB2312" w:eastAsia="仿宋_GB2312" w:cs="仿宋_GB2312"/>
          <w:i w:val="0"/>
          <w:iCs w:val="0"/>
          <w:caps w:val="0"/>
          <w:color w:val="333333"/>
          <w:spacing w:val="0"/>
          <w:sz w:val="31"/>
          <w:szCs w:val="31"/>
          <w:bdr w:val="none" w:color="auto" w:sz="0" w:space="0"/>
          <w:shd w:val="clear" w:fill="FFFFFF"/>
        </w:rPr>
        <w:t>2019年我局政务公开工作认真贯彻新修订的《中华人民共和国政府信息公开条例》以及市政府信息公开工作相关部署，深入学习贯彻落实党的十九大精神，切实加强组织领导，建立健全工作机制，依法推进政府信息公开，着力打造服务型机关，强化林业政务管理与服务，较好地完成了政府信息公开各项工作，有效促进了林业各项工作的顺利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both"/>
        <w:rPr>
          <w:rFonts w:hint="eastAsia" w:ascii="微软雅黑" w:hAnsi="微软雅黑" w:eastAsia="微软雅黑" w:cs="微软雅黑"/>
          <w:i w:val="0"/>
          <w:iCs w:val="0"/>
          <w:caps w:val="0"/>
          <w:color w:val="000000"/>
          <w:spacing w:val="0"/>
          <w:sz w:val="27"/>
          <w:szCs w:val="27"/>
        </w:rPr>
      </w:pPr>
      <w:r>
        <w:rPr>
          <w:rStyle w:val="5"/>
          <w:rFonts w:hint="eastAsia" w:ascii="仿宋_GB2312" w:hAnsi="仿宋_GB2312" w:eastAsia="仿宋_GB2312" w:cs="仿宋_GB2312"/>
          <w:i w:val="0"/>
          <w:iCs w:val="0"/>
          <w:caps w:val="0"/>
          <w:color w:val="000000"/>
          <w:spacing w:val="0"/>
          <w:sz w:val="31"/>
          <w:szCs w:val="31"/>
          <w:bdr w:val="none" w:color="auto" w:sz="0" w:space="0"/>
        </w:rPr>
        <w:t>（一）主动公开情况。</w:t>
      </w:r>
      <w:r>
        <w:rPr>
          <w:rFonts w:hint="eastAsia" w:ascii="仿宋_GB2312" w:hAnsi="仿宋_GB2312" w:eastAsia="仿宋_GB2312" w:cs="仿宋_GB2312"/>
          <w:i w:val="0"/>
          <w:iCs w:val="0"/>
          <w:caps w:val="0"/>
          <w:color w:val="000000"/>
          <w:spacing w:val="0"/>
          <w:sz w:val="31"/>
          <w:szCs w:val="31"/>
          <w:bdr w:val="none" w:color="auto" w:sz="0" w:space="0"/>
        </w:rPr>
        <w:t>突出林业重点。根据宜春市林业局的职能特点，重点公开与群众密切相关、群众最关心、社会最敏感、反映最强烈的林业行政事务。2019年我局利用宜春林业信息网和宜春林业微信公众号主动公开1.财政预决算和“三公”经费情况，全面开展财政预决算信息公开工作，严格公开范围、内容、格式、口径和时间，及时公开部门预决算信息。2．林业信息公开情况，2019年共发布政务政府网站信息835条，政府信息公开平台信息51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jc w:val="both"/>
        <w:rPr>
          <w:rFonts w:hint="eastAsia" w:ascii="微软雅黑" w:hAnsi="微软雅黑" w:eastAsia="微软雅黑" w:cs="微软雅黑"/>
          <w:i w:val="0"/>
          <w:iCs w:val="0"/>
          <w:caps w:val="0"/>
          <w:color w:val="000000"/>
          <w:spacing w:val="0"/>
          <w:sz w:val="27"/>
          <w:szCs w:val="27"/>
        </w:rPr>
      </w:pPr>
      <w:r>
        <w:rPr>
          <w:rStyle w:val="5"/>
          <w:rFonts w:hint="eastAsia" w:ascii="仿宋_GB2312" w:hAnsi="仿宋_GB2312" w:eastAsia="仿宋_GB2312" w:cs="仿宋_GB2312"/>
          <w:i w:val="0"/>
          <w:iCs w:val="0"/>
          <w:caps w:val="0"/>
          <w:color w:val="000000"/>
          <w:spacing w:val="0"/>
          <w:sz w:val="31"/>
          <w:szCs w:val="31"/>
          <w:bdr w:val="none" w:color="auto" w:sz="0" w:space="0"/>
          <w:shd w:val="clear" w:fill="FFFFFF"/>
        </w:rPr>
        <w:t>（二）依申请公开情况。</w:t>
      </w:r>
      <w:r>
        <w:rPr>
          <w:rFonts w:hint="eastAsia" w:ascii="仿宋_GB2312" w:hAnsi="仿宋_GB2312" w:eastAsia="仿宋_GB2312" w:cs="仿宋_GB2312"/>
          <w:i w:val="0"/>
          <w:iCs w:val="0"/>
          <w:caps w:val="0"/>
          <w:color w:val="333333"/>
          <w:spacing w:val="0"/>
          <w:sz w:val="31"/>
          <w:szCs w:val="31"/>
          <w:bdr w:val="none" w:color="auto" w:sz="0" w:space="0"/>
          <w:shd w:val="clear" w:fill="FFFFFF"/>
        </w:rPr>
        <w:t>2019年市林业局共受理依申请公开2件，为自然人件。我局已依据国家有关法律规定予以处理，及时回复申请人，没有引起行政复议。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jc w:val="both"/>
        <w:rPr>
          <w:rFonts w:hint="eastAsia" w:ascii="微软雅黑" w:hAnsi="微软雅黑" w:eastAsia="微软雅黑" w:cs="微软雅黑"/>
          <w:i w:val="0"/>
          <w:iCs w:val="0"/>
          <w:caps w:val="0"/>
          <w:color w:val="000000"/>
          <w:spacing w:val="0"/>
          <w:sz w:val="27"/>
          <w:szCs w:val="27"/>
        </w:rPr>
      </w:pPr>
      <w:r>
        <w:rPr>
          <w:rStyle w:val="5"/>
          <w:rFonts w:hint="eastAsia" w:ascii="仿宋_GB2312" w:hAnsi="仿宋_GB2312" w:eastAsia="仿宋_GB2312" w:cs="仿宋_GB2312"/>
          <w:i w:val="0"/>
          <w:iCs w:val="0"/>
          <w:caps w:val="0"/>
          <w:color w:val="000000"/>
          <w:spacing w:val="0"/>
          <w:sz w:val="31"/>
          <w:szCs w:val="31"/>
          <w:bdr w:val="none" w:color="auto" w:sz="0" w:space="0"/>
          <w:shd w:val="clear" w:fill="FFFFFF"/>
        </w:rPr>
        <w:t>（三）政府信息管理情况。</w:t>
      </w:r>
      <w:r>
        <w:rPr>
          <w:rFonts w:hint="eastAsia" w:ascii="仿宋_GB2312" w:hAnsi="仿宋_GB2312" w:eastAsia="仿宋_GB2312" w:cs="仿宋_GB2312"/>
          <w:i w:val="0"/>
          <w:iCs w:val="0"/>
          <w:caps w:val="0"/>
          <w:color w:val="000000"/>
          <w:spacing w:val="0"/>
          <w:sz w:val="31"/>
          <w:szCs w:val="31"/>
          <w:bdr w:val="none" w:color="auto" w:sz="0" w:space="0"/>
          <w:shd w:val="clear" w:fill="FFFFFF"/>
        </w:rPr>
        <w:t>加强公开平台信息管理，根据市政府网站普查机制，及时解决错链、失链、严重错别字等问题，发挥网站、新媒体的各自优势，做到信息快速送达。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jc w:val="both"/>
        <w:rPr>
          <w:rFonts w:hint="eastAsia" w:ascii="微软雅黑" w:hAnsi="微软雅黑" w:eastAsia="微软雅黑" w:cs="微软雅黑"/>
          <w:i w:val="0"/>
          <w:iCs w:val="0"/>
          <w:caps w:val="0"/>
          <w:color w:val="000000"/>
          <w:spacing w:val="0"/>
          <w:sz w:val="27"/>
          <w:szCs w:val="27"/>
        </w:rPr>
      </w:pPr>
      <w:r>
        <w:rPr>
          <w:rStyle w:val="5"/>
          <w:rFonts w:hint="eastAsia" w:ascii="仿宋_GB2312" w:hAnsi="仿宋_GB2312" w:eastAsia="仿宋_GB2312" w:cs="仿宋_GB2312"/>
          <w:i w:val="0"/>
          <w:iCs w:val="0"/>
          <w:caps w:val="0"/>
          <w:color w:val="000000"/>
          <w:spacing w:val="0"/>
          <w:sz w:val="31"/>
          <w:szCs w:val="31"/>
          <w:bdr w:val="none" w:color="auto" w:sz="0" w:space="0"/>
          <w:shd w:val="clear" w:fill="FFFFFF"/>
        </w:rPr>
        <w:t>（四）平台建设情况。</w:t>
      </w:r>
      <w:r>
        <w:rPr>
          <w:rFonts w:hint="eastAsia" w:ascii="仿宋_GB2312" w:hAnsi="仿宋_GB2312" w:eastAsia="仿宋_GB2312" w:cs="仿宋_GB2312"/>
          <w:i w:val="0"/>
          <w:iCs w:val="0"/>
          <w:caps w:val="0"/>
          <w:color w:val="000000"/>
          <w:spacing w:val="0"/>
          <w:sz w:val="31"/>
          <w:szCs w:val="31"/>
          <w:bdr w:val="none" w:color="auto" w:sz="0" w:space="0"/>
          <w:shd w:val="clear" w:fill="FFFFFF"/>
        </w:rPr>
        <w:t>我局信息公开的平台主要有宜春市林业信息网，宜春林业微信公众号，2019年，在市政府的领导下，我局严格按照有关要求，对网站进行规范化整改。全年网站访问量达到27318次。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jc w:val="both"/>
        <w:rPr>
          <w:rFonts w:hint="eastAsia" w:ascii="微软雅黑" w:hAnsi="微软雅黑" w:eastAsia="微软雅黑" w:cs="微软雅黑"/>
          <w:i w:val="0"/>
          <w:iCs w:val="0"/>
          <w:caps w:val="0"/>
          <w:color w:val="000000"/>
          <w:spacing w:val="0"/>
          <w:sz w:val="27"/>
          <w:szCs w:val="27"/>
        </w:rPr>
      </w:pPr>
      <w:r>
        <w:rPr>
          <w:rStyle w:val="5"/>
          <w:rFonts w:hint="eastAsia" w:ascii="仿宋_GB2312" w:hAnsi="仿宋_GB2312" w:eastAsia="仿宋_GB2312" w:cs="仿宋_GB2312"/>
          <w:i w:val="0"/>
          <w:iCs w:val="0"/>
          <w:caps w:val="0"/>
          <w:color w:val="000000"/>
          <w:spacing w:val="0"/>
          <w:sz w:val="31"/>
          <w:szCs w:val="31"/>
          <w:bdr w:val="none" w:color="auto" w:sz="0" w:space="0"/>
          <w:shd w:val="clear" w:fill="FFFFFF"/>
        </w:rPr>
        <w:t>（五）监督保障。</w:t>
      </w:r>
      <w:r>
        <w:rPr>
          <w:rFonts w:hint="eastAsia" w:ascii="仿宋_GB2312" w:hAnsi="仿宋_GB2312" w:eastAsia="仿宋_GB2312" w:cs="仿宋_GB2312"/>
          <w:i w:val="0"/>
          <w:iCs w:val="0"/>
          <w:caps w:val="0"/>
          <w:color w:val="333333"/>
          <w:spacing w:val="0"/>
          <w:sz w:val="31"/>
          <w:szCs w:val="31"/>
          <w:bdr w:val="none" w:color="auto" w:sz="0" w:space="0"/>
          <w:shd w:val="clear" w:fill="FFFFFF"/>
        </w:rPr>
        <w:t>一是完善人员配置。局党组十分重视政务公开工作，切实加强领导，指定责任心强、综合素质优秀的政务信息员专门负责政务信息整合、网络信息管理等有关工作。明确秘书科作为政务信息公开的职能科室，全面协调处理日常事务。印发了《宜春市林业局政务公开实施细则》，建立了“分管领导统管、科室负责人督办、具体责任人执行、信息复核反馈”的工作机制。向政府网站发布的信息都要经局领导审核。二是对涉及政务活动的重要舆情和群众关注的社会热点问题，积极回应，及时通过政府网站发布权威信息，讲清楚，说明白，力求及时解决群众困难，让群众满意。 三是落实信息公开监督检查机制，对不及时公开、不符合要求公开的内容及相关科室实行通报制度，并督促整改。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both"/>
        <w:rPr>
          <w:rFonts w:hint="eastAsia" w:ascii="微软雅黑" w:hAnsi="微软雅黑" w:eastAsia="微软雅黑" w:cs="微软雅黑"/>
          <w:i w:val="0"/>
          <w:iCs w:val="0"/>
          <w:caps w:val="0"/>
          <w:color w:val="000000"/>
          <w:spacing w:val="0"/>
          <w:sz w:val="27"/>
          <w:szCs w:val="27"/>
        </w:rPr>
      </w:pPr>
      <w:r>
        <w:rPr>
          <w:rStyle w:val="5"/>
          <w:rFonts w:hint="eastAsia" w:ascii="仿宋_GB2312" w:hAnsi="仿宋_GB2312" w:eastAsia="仿宋_GB2312" w:cs="仿宋_GB2312"/>
          <w:i w:val="0"/>
          <w:iCs w:val="0"/>
          <w:caps w:val="0"/>
          <w:color w:val="000000"/>
          <w:spacing w:val="0"/>
          <w:sz w:val="31"/>
          <w:szCs w:val="31"/>
          <w:bdr w:val="none" w:color="auto" w:sz="0" w:space="0"/>
        </w:rPr>
        <w:t>二、主动公开政府信息情况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4"/>
          <w:szCs w:val="24"/>
          <w:bdr w:val="none" w:color="auto" w:sz="0" w:space="0"/>
        </w:rPr>
        <w:t> </w:t>
      </w:r>
    </w:p>
    <w:tbl>
      <w:tblPr>
        <w:tblW w:w="8145" w:type="dxa"/>
        <w:tblInd w:w="0" w:type="dxa"/>
        <w:shd w:val="clear"/>
        <w:tblLayout w:type="autofit"/>
        <w:tblCellMar>
          <w:top w:w="15" w:type="dxa"/>
          <w:left w:w="15" w:type="dxa"/>
          <w:bottom w:w="15" w:type="dxa"/>
          <w:right w:w="15" w:type="dxa"/>
        </w:tblCellMar>
      </w:tblPr>
      <w:tblGrid>
        <w:gridCol w:w="3120"/>
        <w:gridCol w:w="1875"/>
        <w:gridCol w:w="1275"/>
        <w:gridCol w:w="1875"/>
      </w:tblGrid>
      <w:tr>
        <w:tblPrEx>
          <w:shd w:val="clear"/>
          <w:tblCellMar>
            <w:top w:w="15" w:type="dxa"/>
            <w:left w:w="15" w:type="dxa"/>
            <w:bottom w:w="15" w:type="dxa"/>
            <w:right w:w="15" w:type="dxa"/>
          </w:tblCellMar>
        </w:tblPrEx>
        <w:trPr>
          <w:trHeight w:val="495" w:hRule="atLeast"/>
        </w:trPr>
        <w:tc>
          <w:tcPr>
            <w:tcW w:w="8145" w:type="dxa"/>
            <w:gridSpan w:val="4"/>
            <w:tcBorders>
              <w:top w:val="single" w:color="000000" w:sz="6" w:space="0"/>
              <w:left w:val="single" w:color="000000" w:sz="6" w:space="0"/>
              <w:bottom w:val="single" w:color="000000" w:sz="6" w:space="0"/>
              <w:right w:val="single" w:color="000000"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第二十条第（一）项</w:t>
            </w:r>
          </w:p>
        </w:tc>
      </w:tr>
      <w:tr>
        <w:tblPrEx>
          <w:tblCellMar>
            <w:top w:w="15" w:type="dxa"/>
            <w:left w:w="15" w:type="dxa"/>
            <w:bottom w:w="15" w:type="dxa"/>
            <w:right w:w="15" w:type="dxa"/>
          </w:tblCellMar>
        </w:tblPrEx>
        <w:trPr>
          <w:trHeight w:val="885" w:hRule="atLeast"/>
        </w:trPr>
        <w:tc>
          <w:tcPr>
            <w:tcW w:w="3120" w:type="dxa"/>
            <w:tcBorders>
              <w:top w:val="nil"/>
              <w:left w:val="single" w:color="000000" w:sz="6" w:space="0"/>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信息内容</w:t>
            </w:r>
          </w:p>
        </w:tc>
        <w:tc>
          <w:tcPr>
            <w:tcW w:w="1875" w:type="dxa"/>
            <w:tcBorders>
              <w:top w:val="single" w:color="000000" w:sz="6" w:space="0"/>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本年新</w:t>
            </w:r>
            <w:r>
              <w:rPr>
                <w:rFonts w:hint="eastAsia" w:ascii="宋体" w:hAnsi="宋体" w:eastAsia="宋体" w:cs="宋体"/>
                <w:i w:val="0"/>
                <w:iCs w:val="0"/>
                <w:caps w:val="0"/>
                <w:color w:val="000000"/>
                <w:spacing w:val="0"/>
                <w:sz w:val="19"/>
                <w:szCs w:val="19"/>
              </w:rPr>
              <w:br w:type="textWrapping"/>
            </w:r>
            <w:r>
              <w:rPr>
                <w:rFonts w:hint="eastAsia" w:ascii="宋体" w:hAnsi="宋体" w:eastAsia="宋体" w:cs="宋体"/>
                <w:i w:val="0"/>
                <w:iCs w:val="0"/>
                <w:caps w:val="0"/>
                <w:color w:val="000000"/>
                <w:spacing w:val="0"/>
                <w:sz w:val="19"/>
                <w:szCs w:val="19"/>
              </w:rPr>
              <w:t>制作数量</w:t>
            </w:r>
          </w:p>
        </w:tc>
        <w:tc>
          <w:tcPr>
            <w:tcW w:w="1275" w:type="dxa"/>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本年新</w:t>
            </w:r>
            <w:r>
              <w:rPr>
                <w:rFonts w:hint="eastAsia" w:ascii="宋体" w:hAnsi="宋体" w:eastAsia="宋体" w:cs="宋体"/>
                <w:i w:val="0"/>
                <w:iCs w:val="0"/>
                <w:caps w:val="0"/>
                <w:color w:val="000000"/>
                <w:spacing w:val="0"/>
                <w:sz w:val="19"/>
                <w:szCs w:val="19"/>
              </w:rPr>
              <w:br w:type="textWrapping"/>
            </w:r>
            <w:r>
              <w:rPr>
                <w:rFonts w:hint="eastAsia" w:ascii="宋体" w:hAnsi="宋体" w:eastAsia="宋体" w:cs="宋体"/>
                <w:i w:val="0"/>
                <w:iCs w:val="0"/>
                <w:caps w:val="0"/>
                <w:color w:val="000000"/>
                <w:spacing w:val="0"/>
                <w:sz w:val="19"/>
                <w:szCs w:val="19"/>
              </w:rPr>
              <w:t>公开数量</w:t>
            </w:r>
          </w:p>
        </w:tc>
        <w:tc>
          <w:tcPr>
            <w:tcW w:w="1875"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对外公开总数量</w:t>
            </w:r>
          </w:p>
        </w:tc>
      </w:tr>
      <w:tr>
        <w:tblPrEx>
          <w:tblCellMar>
            <w:top w:w="15" w:type="dxa"/>
            <w:left w:w="15" w:type="dxa"/>
            <w:bottom w:w="15" w:type="dxa"/>
            <w:right w:w="15" w:type="dxa"/>
          </w:tblCellMar>
        </w:tblPrEx>
        <w:trPr>
          <w:trHeight w:val="525" w:hRule="atLeast"/>
        </w:trPr>
        <w:tc>
          <w:tcPr>
            <w:tcW w:w="3120" w:type="dxa"/>
            <w:tcBorders>
              <w:top w:val="nil"/>
              <w:left w:val="single" w:color="000000" w:sz="6" w:space="0"/>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i w:val="0"/>
                <w:iCs w:val="0"/>
                <w:caps w:val="0"/>
                <w:color w:val="000000"/>
                <w:spacing w:val="0"/>
                <w:sz w:val="19"/>
                <w:szCs w:val="19"/>
              </w:rPr>
              <w:t>规章</w:t>
            </w:r>
          </w:p>
        </w:tc>
        <w:tc>
          <w:tcPr>
            <w:tcW w:w="1875"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c>
          <w:tcPr>
            <w:tcW w:w="12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c>
          <w:tcPr>
            <w:tcW w:w="1875"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rPr>
          <w:trHeight w:val="465" w:hRule="atLeast"/>
        </w:trPr>
        <w:tc>
          <w:tcPr>
            <w:tcW w:w="3120" w:type="dxa"/>
            <w:tcBorders>
              <w:top w:val="nil"/>
              <w:left w:val="single" w:color="000000" w:sz="6" w:space="0"/>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i w:val="0"/>
                <w:iCs w:val="0"/>
                <w:caps w:val="0"/>
                <w:color w:val="000000"/>
                <w:spacing w:val="0"/>
                <w:sz w:val="19"/>
                <w:szCs w:val="19"/>
              </w:rPr>
              <w:t>规范性文件</w:t>
            </w:r>
          </w:p>
        </w:tc>
        <w:tc>
          <w:tcPr>
            <w:tcW w:w="1875"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1</w:t>
            </w:r>
          </w:p>
        </w:tc>
        <w:tc>
          <w:tcPr>
            <w:tcW w:w="12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1</w:t>
            </w:r>
          </w:p>
        </w:tc>
        <w:tc>
          <w:tcPr>
            <w:tcW w:w="1875"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1</w:t>
            </w:r>
          </w:p>
        </w:tc>
      </w:tr>
      <w:tr>
        <w:tblPrEx>
          <w:tblCellMar>
            <w:top w:w="15" w:type="dxa"/>
            <w:left w:w="15" w:type="dxa"/>
            <w:bottom w:w="15" w:type="dxa"/>
            <w:right w:w="15" w:type="dxa"/>
          </w:tblCellMar>
        </w:tblPrEx>
        <w:trPr>
          <w:trHeight w:val="480" w:hRule="atLeast"/>
        </w:trPr>
        <w:tc>
          <w:tcPr>
            <w:tcW w:w="8145" w:type="dxa"/>
            <w:gridSpan w:val="4"/>
            <w:tcBorders>
              <w:top w:val="nil"/>
              <w:left w:val="single" w:color="000000" w:sz="6" w:space="0"/>
              <w:bottom w:val="single" w:color="000000" w:sz="6" w:space="0"/>
              <w:right w:val="single" w:color="000000"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第二十条第（五）项</w:t>
            </w:r>
          </w:p>
        </w:tc>
      </w:tr>
      <w:tr>
        <w:tblPrEx>
          <w:tblCellMar>
            <w:top w:w="15" w:type="dxa"/>
            <w:left w:w="15" w:type="dxa"/>
            <w:bottom w:w="15" w:type="dxa"/>
            <w:right w:w="15" w:type="dxa"/>
          </w:tblCellMar>
        </w:tblPrEx>
        <w:trPr>
          <w:trHeight w:val="630" w:hRule="atLeast"/>
        </w:trPr>
        <w:tc>
          <w:tcPr>
            <w:tcW w:w="3120" w:type="dxa"/>
            <w:tcBorders>
              <w:top w:val="nil"/>
              <w:left w:val="single" w:color="000000" w:sz="6" w:space="0"/>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信息内容</w:t>
            </w:r>
          </w:p>
        </w:tc>
        <w:tc>
          <w:tcPr>
            <w:tcW w:w="1875" w:type="dxa"/>
            <w:tcBorders>
              <w:top w:val="single" w:color="000000" w:sz="6" w:space="0"/>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上一年项目数量</w:t>
            </w:r>
          </w:p>
        </w:tc>
        <w:tc>
          <w:tcPr>
            <w:tcW w:w="1275" w:type="dxa"/>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本年增/减</w:t>
            </w:r>
          </w:p>
        </w:tc>
        <w:tc>
          <w:tcPr>
            <w:tcW w:w="1875"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处理决定数量</w:t>
            </w:r>
          </w:p>
        </w:tc>
      </w:tr>
      <w:tr>
        <w:tblPrEx>
          <w:tblCellMar>
            <w:top w:w="15" w:type="dxa"/>
            <w:left w:w="15" w:type="dxa"/>
            <w:bottom w:w="15" w:type="dxa"/>
            <w:right w:w="15" w:type="dxa"/>
          </w:tblCellMar>
        </w:tblPrEx>
        <w:trPr>
          <w:trHeight w:val="525" w:hRule="atLeast"/>
        </w:trPr>
        <w:tc>
          <w:tcPr>
            <w:tcW w:w="3120" w:type="dxa"/>
            <w:tcBorders>
              <w:top w:val="nil"/>
              <w:left w:val="single" w:color="000000" w:sz="6" w:space="0"/>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i w:val="0"/>
                <w:iCs w:val="0"/>
                <w:caps w:val="0"/>
                <w:color w:val="000000"/>
                <w:spacing w:val="0"/>
                <w:sz w:val="19"/>
                <w:szCs w:val="19"/>
              </w:rPr>
              <w:t>行政许可</w:t>
            </w:r>
          </w:p>
        </w:tc>
        <w:tc>
          <w:tcPr>
            <w:tcW w:w="1875"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c>
          <w:tcPr>
            <w:tcW w:w="1260"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c>
          <w:tcPr>
            <w:tcW w:w="1875"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rPr>
          <w:trHeight w:val="555" w:hRule="atLeast"/>
        </w:trPr>
        <w:tc>
          <w:tcPr>
            <w:tcW w:w="3120" w:type="dxa"/>
            <w:tcBorders>
              <w:top w:val="nil"/>
              <w:left w:val="single" w:color="000000" w:sz="6" w:space="0"/>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i w:val="0"/>
                <w:iCs w:val="0"/>
                <w:caps w:val="0"/>
                <w:color w:val="000000"/>
                <w:spacing w:val="0"/>
                <w:sz w:val="19"/>
                <w:szCs w:val="19"/>
              </w:rPr>
              <w:t>其他对外管理服务事项</w:t>
            </w:r>
          </w:p>
        </w:tc>
        <w:tc>
          <w:tcPr>
            <w:tcW w:w="1875"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c>
          <w:tcPr>
            <w:tcW w:w="1260"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c>
          <w:tcPr>
            <w:tcW w:w="1875"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rPr>
          <w:trHeight w:val="405" w:hRule="atLeast"/>
        </w:trPr>
        <w:tc>
          <w:tcPr>
            <w:tcW w:w="8145" w:type="dxa"/>
            <w:gridSpan w:val="4"/>
            <w:tcBorders>
              <w:top w:val="nil"/>
              <w:left w:val="single" w:color="000000" w:sz="6" w:space="0"/>
              <w:bottom w:val="single" w:color="000000" w:sz="6" w:space="0"/>
              <w:right w:val="single" w:color="000000"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第二十条第（六）项</w:t>
            </w:r>
          </w:p>
        </w:tc>
      </w:tr>
      <w:tr>
        <w:tblPrEx>
          <w:tblCellMar>
            <w:top w:w="15" w:type="dxa"/>
            <w:left w:w="15" w:type="dxa"/>
            <w:bottom w:w="15" w:type="dxa"/>
            <w:right w:w="15" w:type="dxa"/>
          </w:tblCellMar>
        </w:tblPrEx>
        <w:trPr>
          <w:trHeight w:val="630" w:hRule="atLeast"/>
        </w:trPr>
        <w:tc>
          <w:tcPr>
            <w:tcW w:w="3120" w:type="dxa"/>
            <w:tcBorders>
              <w:top w:val="nil"/>
              <w:left w:val="single" w:color="000000" w:sz="6" w:space="0"/>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信息内容</w:t>
            </w:r>
          </w:p>
        </w:tc>
        <w:tc>
          <w:tcPr>
            <w:tcW w:w="1875" w:type="dxa"/>
            <w:tcBorders>
              <w:top w:val="single" w:color="000000" w:sz="6" w:space="0"/>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上一年项目数量</w:t>
            </w:r>
          </w:p>
        </w:tc>
        <w:tc>
          <w:tcPr>
            <w:tcW w:w="1275" w:type="dxa"/>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本年增/减</w:t>
            </w:r>
          </w:p>
        </w:tc>
        <w:tc>
          <w:tcPr>
            <w:tcW w:w="1875"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处理决定数量</w:t>
            </w:r>
          </w:p>
        </w:tc>
      </w:tr>
      <w:tr>
        <w:tblPrEx>
          <w:tblCellMar>
            <w:top w:w="15" w:type="dxa"/>
            <w:left w:w="15" w:type="dxa"/>
            <w:bottom w:w="15" w:type="dxa"/>
            <w:right w:w="15" w:type="dxa"/>
          </w:tblCellMar>
        </w:tblPrEx>
        <w:trPr>
          <w:trHeight w:val="435" w:hRule="atLeast"/>
        </w:trPr>
        <w:tc>
          <w:tcPr>
            <w:tcW w:w="3120" w:type="dxa"/>
            <w:tcBorders>
              <w:top w:val="nil"/>
              <w:left w:val="single" w:color="000000" w:sz="6" w:space="0"/>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i w:val="0"/>
                <w:iCs w:val="0"/>
                <w:caps w:val="0"/>
                <w:color w:val="000000"/>
                <w:spacing w:val="0"/>
                <w:sz w:val="19"/>
                <w:szCs w:val="19"/>
              </w:rPr>
              <w:t>行政处罚</w:t>
            </w:r>
          </w:p>
        </w:tc>
        <w:tc>
          <w:tcPr>
            <w:tcW w:w="1875"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c>
          <w:tcPr>
            <w:tcW w:w="1260"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c>
          <w:tcPr>
            <w:tcW w:w="1875"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rPr>
          <w:trHeight w:val="405" w:hRule="atLeast"/>
        </w:trPr>
        <w:tc>
          <w:tcPr>
            <w:tcW w:w="3120" w:type="dxa"/>
            <w:tcBorders>
              <w:top w:val="nil"/>
              <w:left w:val="single" w:color="000000" w:sz="6" w:space="0"/>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i w:val="0"/>
                <w:iCs w:val="0"/>
                <w:caps w:val="0"/>
                <w:color w:val="000000"/>
                <w:spacing w:val="0"/>
                <w:sz w:val="19"/>
                <w:szCs w:val="19"/>
              </w:rPr>
              <w:t>行政强制</w:t>
            </w:r>
          </w:p>
        </w:tc>
        <w:tc>
          <w:tcPr>
            <w:tcW w:w="1875"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c>
          <w:tcPr>
            <w:tcW w:w="1260"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c>
          <w:tcPr>
            <w:tcW w:w="1875"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rPr>
          <w:trHeight w:val="480" w:hRule="atLeast"/>
        </w:trPr>
        <w:tc>
          <w:tcPr>
            <w:tcW w:w="8145" w:type="dxa"/>
            <w:gridSpan w:val="4"/>
            <w:tcBorders>
              <w:top w:val="nil"/>
              <w:left w:val="single" w:color="000000" w:sz="6" w:space="0"/>
              <w:bottom w:val="single" w:color="000000" w:sz="6" w:space="0"/>
              <w:right w:val="single" w:color="000000"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第二十条第（八）项</w:t>
            </w:r>
          </w:p>
        </w:tc>
      </w:tr>
      <w:tr>
        <w:tblPrEx>
          <w:tblCellMar>
            <w:top w:w="15" w:type="dxa"/>
            <w:left w:w="15" w:type="dxa"/>
            <w:bottom w:w="15" w:type="dxa"/>
            <w:right w:w="15" w:type="dxa"/>
          </w:tblCellMar>
        </w:tblPrEx>
        <w:trPr>
          <w:trHeight w:val="270" w:hRule="atLeast"/>
        </w:trPr>
        <w:tc>
          <w:tcPr>
            <w:tcW w:w="3120" w:type="dxa"/>
            <w:tcBorders>
              <w:top w:val="nil"/>
              <w:left w:val="single" w:color="000000" w:sz="6" w:space="0"/>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信息内容</w:t>
            </w:r>
          </w:p>
        </w:tc>
        <w:tc>
          <w:tcPr>
            <w:tcW w:w="1875"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i w:val="0"/>
                <w:iCs w:val="0"/>
                <w:caps w:val="0"/>
                <w:color w:val="000000"/>
                <w:spacing w:val="0"/>
                <w:sz w:val="19"/>
                <w:szCs w:val="19"/>
              </w:rPr>
              <w:t>上一年项目数量</w:t>
            </w:r>
          </w:p>
        </w:tc>
        <w:tc>
          <w:tcPr>
            <w:tcW w:w="3150" w:type="dxa"/>
            <w:gridSpan w:val="2"/>
            <w:tcBorders>
              <w:top w:val="single" w:color="000000" w:sz="6" w:space="0"/>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本年增/减</w:t>
            </w:r>
          </w:p>
        </w:tc>
      </w:tr>
      <w:tr>
        <w:tblPrEx>
          <w:tblCellMar>
            <w:top w:w="15" w:type="dxa"/>
            <w:left w:w="15" w:type="dxa"/>
            <w:bottom w:w="15" w:type="dxa"/>
            <w:right w:w="15" w:type="dxa"/>
          </w:tblCellMar>
        </w:tblPrEx>
        <w:trPr>
          <w:trHeight w:val="555" w:hRule="atLeast"/>
        </w:trPr>
        <w:tc>
          <w:tcPr>
            <w:tcW w:w="3120" w:type="dxa"/>
            <w:tcBorders>
              <w:top w:val="nil"/>
              <w:left w:val="single" w:color="000000" w:sz="6" w:space="0"/>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i w:val="0"/>
                <w:iCs w:val="0"/>
                <w:caps w:val="0"/>
                <w:color w:val="000000"/>
                <w:spacing w:val="0"/>
                <w:sz w:val="19"/>
                <w:szCs w:val="19"/>
              </w:rPr>
              <w:t>行政事业性收费</w:t>
            </w:r>
          </w:p>
        </w:tc>
        <w:tc>
          <w:tcPr>
            <w:tcW w:w="1875"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c>
          <w:tcPr>
            <w:tcW w:w="3150" w:type="dxa"/>
            <w:gridSpan w:val="2"/>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0 </w:t>
            </w:r>
          </w:p>
        </w:tc>
      </w:tr>
      <w:tr>
        <w:tblPrEx>
          <w:tblCellMar>
            <w:top w:w="15" w:type="dxa"/>
            <w:left w:w="15" w:type="dxa"/>
            <w:bottom w:w="15" w:type="dxa"/>
            <w:right w:w="15" w:type="dxa"/>
          </w:tblCellMar>
        </w:tblPrEx>
        <w:trPr>
          <w:trHeight w:val="480" w:hRule="atLeast"/>
        </w:trPr>
        <w:tc>
          <w:tcPr>
            <w:tcW w:w="8145" w:type="dxa"/>
            <w:gridSpan w:val="4"/>
            <w:tcBorders>
              <w:top w:val="nil"/>
              <w:left w:val="single" w:color="000000" w:sz="6" w:space="0"/>
              <w:bottom w:val="single" w:color="000000" w:sz="6" w:space="0"/>
              <w:right w:val="single" w:color="000000"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第二十条第（九）项</w:t>
            </w:r>
          </w:p>
        </w:tc>
      </w:tr>
      <w:tr>
        <w:tblPrEx>
          <w:tblCellMar>
            <w:top w:w="15" w:type="dxa"/>
            <w:left w:w="15" w:type="dxa"/>
            <w:bottom w:w="15" w:type="dxa"/>
            <w:right w:w="15" w:type="dxa"/>
          </w:tblCellMar>
        </w:tblPrEx>
        <w:trPr>
          <w:trHeight w:val="585" w:hRule="atLeast"/>
        </w:trPr>
        <w:tc>
          <w:tcPr>
            <w:tcW w:w="3120" w:type="dxa"/>
            <w:tcBorders>
              <w:top w:val="nil"/>
              <w:left w:val="single" w:color="000000" w:sz="6" w:space="0"/>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信息内容</w:t>
            </w:r>
          </w:p>
        </w:tc>
        <w:tc>
          <w:tcPr>
            <w:tcW w:w="1875"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采购项目数量</w:t>
            </w:r>
          </w:p>
        </w:tc>
        <w:tc>
          <w:tcPr>
            <w:tcW w:w="3150" w:type="dxa"/>
            <w:gridSpan w:val="2"/>
            <w:tcBorders>
              <w:top w:val="single" w:color="000000" w:sz="6" w:space="0"/>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采购总金额</w:t>
            </w:r>
          </w:p>
        </w:tc>
      </w:tr>
      <w:tr>
        <w:tblPrEx>
          <w:tblCellMar>
            <w:top w:w="15" w:type="dxa"/>
            <w:left w:w="15" w:type="dxa"/>
            <w:bottom w:w="15" w:type="dxa"/>
            <w:right w:w="15" w:type="dxa"/>
          </w:tblCellMar>
        </w:tblPrEx>
        <w:trPr>
          <w:trHeight w:val="540" w:hRule="atLeast"/>
        </w:trPr>
        <w:tc>
          <w:tcPr>
            <w:tcW w:w="3120" w:type="dxa"/>
            <w:tcBorders>
              <w:top w:val="nil"/>
              <w:left w:val="single" w:color="000000" w:sz="6" w:space="0"/>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i w:val="0"/>
                <w:iCs w:val="0"/>
                <w:caps w:val="0"/>
                <w:color w:val="000000"/>
                <w:spacing w:val="0"/>
                <w:sz w:val="19"/>
                <w:szCs w:val="19"/>
              </w:rPr>
              <w:t>政府集中采购</w:t>
            </w:r>
          </w:p>
        </w:tc>
        <w:tc>
          <w:tcPr>
            <w:tcW w:w="1875" w:type="dxa"/>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9</w:t>
            </w:r>
          </w:p>
        </w:tc>
        <w:tc>
          <w:tcPr>
            <w:tcW w:w="3150" w:type="dxa"/>
            <w:gridSpan w:val="2"/>
            <w:tcBorders>
              <w:top w:val="nil"/>
              <w:left w:val="nil"/>
              <w:bottom w:val="single" w:color="000000" w:sz="6" w:space="0"/>
              <w:right w:val="single" w:color="000000" w:sz="6" w:space="0"/>
            </w:tcBorders>
            <w:shd w:val="clear" w:color="auto" w:fill="E6F4FF"/>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24"/>
                <w:szCs w:val="24"/>
              </w:rPr>
              <w:t>22.79679</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both"/>
        <w:rPr>
          <w:rFonts w:hint="eastAsia" w:ascii="微软雅黑" w:hAnsi="微软雅黑" w:eastAsia="微软雅黑" w:cs="微软雅黑"/>
          <w:i w:val="0"/>
          <w:iCs w:val="0"/>
          <w:caps w:val="0"/>
          <w:color w:val="000000"/>
          <w:spacing w:val="0"/>
          <w:sz w:val="27"/>
          <w:szCs w:val="27"/>
        </w:rPr>
      </w:pPr>
      <w:r>
        <w:rPr>
          <w:rStyle w:val="5"/>
          <w:rFonts w:ascii="微软雅黑" w:hAnsi="微软雅黑" w:eastAsia="微软雅黑" w:cs="微软雅黑"/>
          <w:i w:val="0"/>
          <w:iCs w:val="0"/>
          <w:caps w:val="0"/>
          <w:color w:val="000000"/>
          <w:spacing w:val="0"/>
          <w:sz w:val="24"/>
          <w:szCs w:val="24"/>
          <w:bdr w:val="none" w:color="auto" w:sz="0" w:space="0"/>
        </w:rPr>
        <w:t>三、收到和处理政府信息公开申请情况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4"/>
          <w:szCs w:val="24"/>
          <w:bdr w:val="none" w:color="auto" w:sz="0" w:space="0"/>
        </w:rPr>
        <w:t> </w:t>
      </w:r>
    </w:p>
    <w:tbl>
      <w:tblPr>
        <w:tblW w:w="9075" w:type="dxa"/>
        <w:tblInd w:w="0" w:type="dxa"/>
        <w:shd w:val="clear"/>
        <w:tblLayout w:type="autofit"/>
        <w:tblCellMar>
          <w:top w:w="15" w:type="dxa"/>
          <w:left w:w="15" w:type="dxa"/>
          <w:bottom w:w="15" w:type="dxa"/>
          <w:right w:w="15" w:type="dxa"/>
        </w:tblCellMar>
      </w:tblPr>
      <w:tblGrid>
        <w:gridCol w:w="614"/>
        <w:gridCol w:w="854"/>
        <w:gridCol w:w="2080"/>
        <w:gridCol w:w="809"/>
        <w:gridCol w:w="749"/>
        <w:gridCol w:w="749"/>
        <w:gridCol w:w="809"/>
        <w:gridCol w:w="973"/>
        <w:gridCol w:w="719"/>
        <w:gridCol w:w="719"/>
      </w:tblGrid>
      <w:tr>
        <w:tblPrEx>
          <w:shd w:val="clear"/>
          <w:tblCellMar>
            <w:top w:w="15" w:type="dxa"/>
            <w:left w:w="15" w:type="dxa"/>
            <w:bottom w:w="15" w:type="dxa"/>
            <w:right w:w="15" w:type="dxa"/>
          </w:tblCellMar>
        </w:tblPrEx>
        <w:tc>
          <w:tcPr>
            <w:tcW w:w="3555" w:type="dxa"/>
            <w:gridSpan w:val="3"/>
            <w:vMerge w:val="restart"/>
            <w:tcBorders>
              <w:top w:val="single" w:color="000000" w:sz="6" w:space="0"/>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（本列数据的勾稽关系为：第一项加第二项之和，等于第三项加第四项之和）</w:t>
            </w:r>
          </w:p>
        </w:tc>
        <w:tc>
          <w:tcPr>
            <w:tcW w:w="5520" w:type="dxa"/>
            <w:gridSpan w:val="7"/>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申请人情况</w:t>
            </w:r>
          </w:p>
        </w:tc>
      </w:tr>
      <w:tr>
        <w:tblPrEx>
          <w:tblCellMar>
            <w:top w:w="15" w:type="dxa"/>
            <w:left w:w="15" w:type="dxa"/>
            <w:bottom w:w="15" w:type="dxa"/>
            <w:right w:w="15" w:type="dxa"/>
          </w:tblCellMar>
        </w:tblPrEx>
        <w:tc>
          <w:tcPr>
            <w:tcW w:w="3555" w:type="dxa"/>
            <w:gridSpan w:val="3"/>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10" w:type="dxa"/>
            <w:vMerge w:val="restart"/>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自然人</w:t>
            </w:r>
          </w:p>
        </w:tc>
        <w:tc>
          <w:tcPr>
            <w:tcW w:w="4005" w:type="dxa"/>
            <w:gridSpan w:val="5"/>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法人或其他组织</w:t>
            </w:r>
          </w:p>
        </w:tc>
        <w:tc>
          <w:tcPr>
            <w:tcW w:w="690" w:type="dxa"/>
            <w:vMerge w:val="restart"/>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总计</w:t>
            </w:r>
          </w:p>
        </w:tc>
      </w:tr>
      <w:tr>
        <w:tblPrEx>
          <w:tblCellMar>
            <w:top w:w="15" w:type="dxa"/>
            <w:left w:w="15" w:type="dxa"/>
            <w:bottom w:w="15" w:type="dxa"/>
            <w:right w:w="15" w:type="dxa"/>
          </w:tblCellMar>
        </w:tblPrEx>
        <w:tc>
          <w:tcPr>
            <w:tcW w:w="3555" w:type="dxa"/>
            <w:gridSpan w:val="3"/>
            <w:vMerge w:val="continue"/>
            <w:tcBorders>
              <w:top w:val="single" w:color="000000" w:sz="6" w:space="0"/>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10" w:type="dxa"/>
            <w:vMerge w:val="continue"/>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商业企业</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科研机构</w:t>
            </w:r>
          </w:p>
        </w:tc>
        <w:tc>
          <w:tcPr>
            <w:tcW w:w="810" w:type="dxa"/>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社会公益组织</w:t>
            </w:r>
          </w:p>
        </w:tc>
        <w:tc>
          <w:tcPr>
            <w:tcW w:w="975" w:type="dxa"/>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法律服务机构</w:t>
            </w:r>
          </w:p>
        </w:tc>
        <w:tc>
          <w:tcPr>
            <w:tcW w:w="705" w:type="dxa"/>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其他</w:t>
            </w:r>
          </w:p>
        </w:tc>
        <w:tc>
          <w:tcPr>
            <w:tcW w:w="690" w:type="dxa"/>
            <w:vMerge w:val="continue"/>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r>
      <w:tr>
        <w:tblPrEx>
          <w:tblCellMar>
            <w:top w:w="15" w:type="dxa"/>
            <w:left w:w="15" w:type="dxa"/>
            <w:bottom w:w="15" w:type="dxa"/>
            <w:right w:w="15" w:type="dxa"/>
          </w:tblCellMar>
        </w:tblPrEx>
        <w:tc>
          <w:tcPr>
            <w:tcW w:w="3555" w:type="dxa"/>
            <w:gridSpan w:val="3"/>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i w:val="0"/>
                <w:iCs w:val="0"/>
                <w:caps w:val="0"/>
                <w:color w:val="000000"/>
                <w:spacing w:val="0"/>
                <w:sz w:val="19"/>
                <w:szCs w:val="19"/>
              </w:rPr>
              <w:t>一、本年新收政府信息公开申请数量</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2</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69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2</w:t>
            </w:r>
          </w:p>
        </w:tc>
      </w:tr>
      <w:tr>
        <w:tblPrEx>
          <w:tblCellMar>
            <w:top w:w="15" w:type="dxa"/>
            <w:left w:w="15" w:type="dxa"/>
            <w:bottom w:w="15" w:type="dxa"/>
            <w:right w:w="15" w:type="dxa"/>
          </w:tblCellMar>
        </w:tblPrEx>
        <w:tc>
          <w:tcPr>
            <w:tcW w:w="3555" w:type="dxa"/>
            <w:gridSpan w:val="3"/>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i w:val="0"/>
                <w:iCs w:val="0"/>
                <w:caps w:val="0"/>
                <w:color w:val="000000"/>
                <w:spacing w:val="0"/>
                <w:sz w:val="19"/>
                <w:szCs w:val="19"/>
              </w:rPr>
              <w:t>二、上年结转政府信息公开申请数量</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r>
              <w:rPr>
                <w:rFonts w:hint="default" w:ascii="Calibri" w:hAnsi="Calibri" w:eastAsia="Calibri" w:cs="Calibri"/>
                <w:i w:val="0"/>
                <w:iCs w:val="0"/>
                <w:caps w:val="0"/>
                <w:color w:val="000000"/>
                <w:spacing w:val="0"/>
                <w:sz w:val="19"/>
                <w:szCs w:val="19"/>
              </w:rPr>
              <w:t> </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r>
              <w:rPr>
                <w:rFonts w:hint="default" w:ascii="Calibri" w:hAnsi="Calibri" w:eastAsia="Calibri" w:cs="Calibri"/>
                <w:i w:val="0"/>
                <w:iCs w:val="0"/>
                <w:caps w:val="0"/>
                <w:color w:val="000000"/>
                <w:spacing w:val="0"/>
                <w:sz w:val="19"/>
                <w:szCs w:val="19"/>
              </w:rPr>
              <w:t> </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r>
              <w:rPr>
                <w:rFonts w:hint="default" w:ascii="Calibri" w:hAnsi="Calibri" w:eastAsia="Calibri" w:cs="Calibri"/>
                <w:i w:val="0"/>
                <w:iCs w:val="0"/>
                <w:caps w:val="0"/>
                <w:color w:val="000000"/>
                <w:spacing w:val="0"/>
                <w:sz w:val="19"/>
                <w:szCs w:val="19"/>
              </w:rPr>
              <w:t> </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r>
              <w:rPr>
                <w:rFonts w:hint="default" w:ascii="Calibri" w:hAnsi="Calibri" w:eastAsia="Calibri" w:cs="Calibri"/>
                <w:i w:val="0"/>
                <w:iCs w:val="0"/>
                <w:caps w:val="0"/>
                <w:color w:val="000000"/>
                <w:spacing w:val="0"/>
                <w:sz w:val="19"/>
                <w:szCs w:val="19"/>
              </w:rPr>
              <w:t> </w:t>
            </w:r>
          </w:p>
        </w:tc>
        <w:tc>
          <w:tcPr>
            <w:tcW w:w="69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c>
          <w:tcPr>
            <w:tcW w:w="615" w:type="dxa"/>
            <w:vMerge w:val="restart"/>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三、本年度办理结果</w:t>
            </w:r>
          </w:p>
        </w:tc>
        <w:tc>
          <w:tcPr>
            <w:tcW w:w="2940" w:type="dxa"/>
            <w:gridSpan w:val="2"/>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ascii="楷体" w:hAnsi="楷体" w:eastAsia="楷体" w:cs="楷体"/>
                <w:i w:val="0"/>
                <w:iCs w:val="0"/>
                <w:caps w:val="0"/>
                <w:color w:val="000000"/>
                <w:spacing w:val="0"/>
                <w:sz w:val="19"/>
                <w:szCs w:val="19"/>
              </w:rPr>
              <w:t>（一）予以公开</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1</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c>
          <w:tcPr>
            <w:tcW w:w="690" w:type="dxa"/>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1</w:t>
            </w:r>
            <w:r>
              <w:rPr>
                <w:rFonts w:hint="default" w:ascii="Calibri" w:hAnsi="Calibri" w:eastAsia="Calibri" w:cs="Calibri"/>
                <w:i w:val="0"/>
                <w:iCs w:val="0"/>
                <w:caps w:val="0"/>
                <w:color w:val="000000"/>
                <w:spacing w:val="0"/>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940" w:type="dxa"/>
            <w:gridSpan w:val="2"/>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（二）部分公开（区分处理的，只计这一情形，不计其他情形）</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r>
              <w:rPr>
                <w:rFonts w:hint="default" w:ascii="Calibri" w:hAnsi="Calibri" w:eastAsia="Calibri" w:cs="Calibri"/>
                <w:i w:val="0"/>
                <w:iCs w:val="0"/>
                <w:caps w:val="0"/>
                <w:color w:val="000000"/>
                <w:spacing w:val="0"/>
                <w:sz w:val="19"/>
                <w:szCs w:val="19"/>
              </w:rPr>
              <w:t> </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r>
              <w:rPr>
                <w:rFonts w:hint="default" w:ascii="Calibri" w:hAnsi="Calibri" w:eastAsia="Calibri" w:cs="Calibri"/>
                <w:i w:val="0"/>
                <w:iCs w:val="0"/>
                <w:caps w:val="0"/>
                <w:color w:val="000000"/>
                <w:spacing w:val="0"/>
                <w:sz w:val="19"/>
                <w:szCs w:val="19"/>
              </w:rPr>
              <w:t> </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r>
              <w:rPr>
                <w:rFonts w:hint="default" w:ascii="Calibri" w:hAnsi="Calibri" w:eastAsia="Calibri" w:cs="Calibri"/>
                <w:i w:val="0"/>
                <w:iCs w:val="0"/>
                <w:caps w:val="0"/>
                <w:color w:val="000000"/>
                <w:spacing w:val="0"/>
                <w:sz w:val="19"/>
                <w:szCs w:val="19"/>
              </w:rPr>
              <w:t> </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69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r>
              <w:rPr>
                <w:rFonts w:hint="default" w:ascii="Calibri" w:hAnsi="Calibri" w:eastAsia="Calibri" w:cs="Calibri"/>
                <w:i w:val="0"/>
                <w:iCs w:val="0"/>
                <w:caps w:val="0"/>
                <w:color w:val="000000"/>
                <w:spacing w:val="0"/>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restart"/>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（三）不予公开</w:t>
            </w:r>
          </w:p>
        </w:tc>
        <w:tc>
          <w:tcPr>
            <w:tcW w:w="208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1.属于国家秘密</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690" w:type="dxa"/>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2.其他法律行政法规禁止公开</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69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3.危及“三安全一稳定”</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69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4.保护第三方合法权益</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69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5.属于三类内部事务信息</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69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6.属于四类过程性信息</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69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7.属于行政执法案卷</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69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8.属于行政查询事项</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69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restart"/>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（四）无法提供</w:t>
            </w:r>
          </w:p>
        </w:tc>
        <w:tc>
          <w:tcPr>
            <w:tcW w:w="208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1.本机关不掌握相关政府信息</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1</w:t>
            </w:r>
            <w:r>
              <w:rPr>
                <w:rFonts w:hint="default" w:ascii="Calibri" w:hAnsi="Calibri" w:eastAsia="Calibri" w:cs="Calibri"/>
                <w:i w:val="0"/>
                <w:iCs w:val="0"/>
                <w:caps w:val="0"/>
                <w:color w:val="000000"/>
                <w:spacing w:val="0"/>
                <w:sz w:val="19"/>
                <w:szCs w:val="19"/>
              </w:rPr>
              <w:t> </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r>
              <w:rPr>
                <w:rFonts w:hint="default" w:ascii="Calibri" w:hAnsi="Calibri" w:eastAsia="Calibri" w:cs="Calibri"/>
                <w:i w:val="0"/>
                <w:iCs w:val="0"/>
                <w:caps w:val="0"/>
                <w:color w:val="000000"/>
                <w:spacing w:val="0"/>
                <w:sz w:val="19"/>
                <w:szCs w:val="19"/>
              </w:rPr>
              <w:t> </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69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1</w:t>
            </w:r>
            <w:r>
              <w:rPr>
                <w:rFonts w:hint="default" w:ascii="Calibri" w:hAnsi="Calibri" w:eastAsia="Calibri" w:cs="Calibri"/>
                <w:i w:val="0"/>
                <w:iCs w:val="0"/>
                <w:caps w:val="0"/>
                <w:color w:val="000000"/>
                <w:spacing w:val="0"/>
                <w:sz w:val="19"/>
                <w:szCs w:val="19"/>
              </w:rPr>
              <w:t> </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2.没有现成信息需要另行制作</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69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3.补正后申请内容仍不明确</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69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restart"/>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（五）不予处理</w:t>
            </w:r>
          </w:p>
        </w:tc>
        <w:tc>
          <w:tcPr>
            <w:tcW w:w="208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1.信访举报投诉类申请</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69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2.重复申请</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69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3.要求提供公开出版物</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69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4.无正当理由大量反复申请</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69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855" w:type="dxa"/>
            <w:vMerge w:val="continue"/>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08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5.要求行政机关确认或重新出具已获取信息</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r>
              <w:rPr>
                <w:rFonts w:hint="default" w:ascii="Calibri" w:hAnsi="Calibri" w:eastAsia="Calibri" w:cs="Calibri"/>
                <w:i w:val="0"/>
                <w:iCs w:val="0"/>
                <w:caps w:val="0"/>
                <w:color w:val="000000"/>
                <w:spacing w:val="0"/>
                <w:sz w:val="19"/>
                <w:szCs w:val="19"/>
              </w:rPr>
              <w:t> </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69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940" w:type="dxa"/>
            <w:gridSpan w:val="2"/>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（六）其他处理</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r>
              <w:rPr>
                <w:rFonts w:hint="default" w:ascii="Calibri" w:hAnsi="Calibri" w:eastAsia="Calibri" w:cs="Calibri"/>
                <w:i w:val="0"/>
                <w:iCs w:val="0"/>
                <w:caps w:val="0"/>
                <w:color w:val="000000"/>
                <w:spacing w:val="0"/>
                <w:sz w:val="19"/>
                <w:szCs w:val="19"/>
              </w:rPr>
              <w:t> </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69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r>
      <w:tr>
        <w:tblPrEx>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2940" w:type="dxa"/>
            <w:gridSpan w:val="2"/>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楷体" w:hAnsi="楷体" w:eastAsia="楷体" w:cs="楷体"/>
                <w:i w:val="0"/>
                <w:iCs w:val="0"/>
                <w:caps w:val="0"/>
                <w:color w:val="000000"/>
                <w:spacing w:val="0"/>
                <w:sz w:val="19"/>
                <w:szCs w:val="19"/>
              </w:rPr>
              <w:t>（七）总计</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2</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69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2</w:t>
            </w:r>
          </w:p>
        </w:tc>
      </w:tr>
      <w:tr>
        <w:tblPrEx>
          <w:tblCellMar>
            <w:top w:w="15" w:type="dxa"/>
            <w:left w:w="15" w:type="dxa"/>
            <w:bottom w:w="15" w:type="dxa"/>
            <w:right w:w="15" w:type="dxa"/>
          </w:tblCellMar>
        </w:tblPrEx>
        <w:tc>
          <w:tcPr>
            <w:tcW w:w="3555" w:type="dxa"/>
            <w:gridSpan w:val="3"/>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i w:val="0"/>
                <w:iCs w:val="0"/>
                <w:caps w:val="0"/>
                <w:color w:val="000000"/>
                <w:spacing w:val="0"/>
                <w:sz w:val="19"/>
                <w:szCs w:val="19"/>
              </w:rPr>
              <w:t>四、结转下年度继续办理</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r>
              <w:rPr>
                <w:rFonts w:hint="default" w:ascii="Calibri" w:hAnsi="Calibri" w:eastAsia="Calibri" w:cs="Calibri"/>
                <w:i w:val="0"/>
                <w:iCs w:val="0"/>
                <w:caps w:val="0"/>
                <w:color w:val="000000"/>
                <w:spacing w:val="0"/>
                <w:sz w:val="19"/>
                <w:szCs w:val="19"/>
              </w:rPr>
              <w:t> </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5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81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97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70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r>
              <w:rPr>
                <w:rFonts w:hint="default" w:ascii="Calibri" w:hAnsi="Calibri" w:eastAsia="Calibri" w:cs="Calibri"/>
                <w:i w:val="0"/>
                <w:iCs w:val="0"/>
                <w:caps w:val="0"/>
                <w:color w:val="000000"/>
                <w:spacing w:val="0"/>
                <w:sz w:val="19"/>
                <w:szCs w:val="19"/>
              </w:rPr>
              <w:t> </w:t>
            </w:r>
          </w:p>
        </w:tc>
        <w:tc>
          <w:tcPr>
            <w:tcW w:w="69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both"/>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4"/>
          <w:szCs w:val="24"/>
          <w:bdr w:val="none" w:color="auto" w:sz="0" w:space="0"/>
        </w:rPr>
        <w:t>四、政府信息公开行政复议、行政诉讼情况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4"/>
          <w:szCs w:val="24"/>
          <w:bdr w:val="none" w:color="auto" w:sz="0" w:space="0"/>
        </w:rPr>
        <w:t> </w:t>
      </w:r>
    </w:p>
    <w:tbl>
      <w:tblPr>
        <w:tblW w:w="9075" w:type="dxa"/>
        <w:tblInd w:w="0" w:type="dxa"/>
        <w:shd w:val="clear"/>
        <w:tblLayout w:type="autofit"/>
        <w:tblCellMar>
          <w:top w:w="15" w:type="dxa"/>
          <w:left w:w="15" w:type="dxa"/>
          <w:bottom w:w="15" w:type="dxa"/>
          <w:right w:w="15" w:type="dxa"/>
        </w:tblCellMar>
      </w:tblPr>
      <w:tblGrid>
        <w:gridCol w:w="600"/>
        <w:gridCol w:w="600"/>
        <w:gridCol w:w="600"/>
        <w:gridCol w:w="600"/>
        <w:gridCol w:w="675"/>
        <w:gridCol w:w="555"/>
        <w:gridCol w:w="600"/>
        <w:gridCol w:w="600"/>
        <w:gridCol w:w="600"/>
        <w:gridCol w:w="615"/>
        <w:gridCol w:w="600"/>
        <w:gridCol w:w="600"/>
        <w:gridCol w:w="600"/>
        <w:gridCol w:w="600"/>
        <w:gridCol w:w="630"/>
      </w:tblGrid>
      <w:tr>
        <w:tblPrEx>
          <w:shd w:val="clear"/>
        </w:tblPrEx>
        <w:tc>
          <w:tcPr>
            <w:tcW w:w="3075" w:type="dxa"/>
            <w:gridSpan w:val="5"/>
            <w:tcBorders>
              <w:top w:val="single" w:color="000000" w:sz="6" w:space="0"/>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行政复议</w:t>
            </w:r>
          </w:p>
        </w:tc>
        <w:tc>
          <w:tcPr>
            <w:tcW w:w="6000" w:type="dxa"/>
            <w:gridSpan w:val="10"/>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行政诉讼</w:t>
            </w:r>
          </w:p>
        </w:tc>
      </w:tr>
      <w:tr>
        <w:tblPrEx>
          <w:tblCellMar>
            <w:top w:w="15" w:type="dxa"/>
            <w:left w:w="15" w:type="dxa"/>
            <w:bottom w:w="15" w:type="dxa"/>
            <w:right w:w="15" w:type="dxa"/>
          </w:tblCellMar>
        </w:tblPrEx>
        <w:tc>
          <w:tcPr>
            <w:tcW w:w="600" w:type="dxa"/>
            <w:vMerge w:val="restart"/>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结果维持</w:t>
            </w:r>
          </w:p>
        </w:tc>
        <w:tc>
          <w:tcPr>
            <w:tcW w:w="600" w:type="dxa"/>
            <w:vMerge w:val="restart"/>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结果纠正</w:t>
            </w:r>
          </w:p>
        </w:tc>
        <w:tc>
          <w:tcPr>
            <w:tcW w:w="600" w:type="dxa"/>
            <w:vMerge w:val="restart"/>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其他结果</w:t>
            </w:r>
          </w:p>
        </w:tc>
        <w:tc>
          <w:tcPr>
            <w:tcW w:w="600" w:type="dxa"/>
            <w:vMerge w:val="restart"/>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尚未审结</w:t>
            </w:r>
          </w:p>
        </w:tc>
        <w:tc>
          <w:tcPr>
            <w:tcW w:w="660" w:type="dxa"/>
            <w:vMerge w:val="restart"/>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总计</w:t>
            </w:r>
          </w:p>
        </w:tc>
        <w:tc>
          <w:tcPr>
            <w:tcW w:w="2970" w:type="dxa"/>
            <w:gridSpan w:val="5"/>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未经复议直接起诉</w:t>
            </w:r>
          </w:p>
        </w:tc>
        <w:tc>
          <w:tcPr>
            <w:tcW w:w="3030" w:type="dxa"/>
            <w:gridSpan w:val="5"/>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复议后起诉</w:t>
            </w:r>
          </w:p>
        </w:tc>
      </w:tr>
      <w:tr>
        <w:tc>
          <w:tcPr>
            <w:tcW w:w="600" w:type="dxa"/>
            <w:vMerge w:val="continue"/>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00" w:type="dxa"/>
            <w:vMerge w:val="continue"/>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00" w:type="dxa"/>
            <w:vMerge w:val="continue"/>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00" w:type="dxa"/>
            <w:vMerge w:val="continue"/>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660" w:type="dxa"/>
            <w:vMerge w:val="continue"/>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rPr>
                <w:rFonts w:hint="eastAsia" w:ascii="微软雅黑" w:hAnsi="微软雅黑" w:eastAsia="微软雅黑" w:cs="微软雅黑"/>
                <w:i w:val="0"/>
                <w:iCs w:val="0"/>
                <w:caps w:val="0"/>
                <w:color w:val="000000"/>
                <w:spacing w:val="0"/>
                <w:sz w:val="27"/>
                <w:szCs w:val="27"/>
              </w:rPr>
            </w:pPr>
          </w:p>
        </w:tc>
        <w:tc>
          <w:tcPr>
            <w:tcW w:w="55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结果维持</w:t>
            </w:r>
          </w:p>
        </w:tc>
        <w:tc>
          <w:tcPr>
            <w:tcW w:w="60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结果纠正</w:t>
            </w:r>
          </w:p>
        </w:tc>
        <w:tc>
          <w:tcPr>
            <w:tcW w:w="600" w:type="dxa"/>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其他结果</w:t>
            </w:r>
          </w:p>
        </w:tc>
        <w:tc>
          <w:tcPr>
            <w:tcW w:w="600" w:type="dxa"/>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尚未审结</w:t>
            </w:r>
          </w:p>
        </w:tc>
        <w:tc>
          <w:tcPr>
            <w:tcW w:w="600" w:type="dxa"/>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总计</w:t>
            </w:r>
          </w:p>
        </w:tc>
        <w:tc>
          <w:tcPr>
            <w:tcW w:w="600" w:type="dxa"/>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结果维持</w:t>
            </w:r>
          </w:p>
        </w:tc>
        <w:tc>
          <w:tcPr>
            <w:tcW w:w="600" w:type="dxa"/>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结果纠正</w:t>
            </w:r>
          </w:p>
        </w:tc>
        <w:tc>
          <w:tcPr>
            <w:tcW w:w="600" w:type="dxa"/>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其他结果</w:t>
            </w:r>
          </w:p>
        </w:tc>
        <w:tc>
          <w:tcPr>
            <w:tcW w:w="600" w:type="dxa"/>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尚未审结</w:t>
            </w:r>
          </w:p>
        </w:tc>
        <w:tc>
          <w:tcPr>
            <w:tcW w:w="600" w:type="dxa"/>
            <w:tcBorders>
              <w:top w:val="single" w:color="000000" w:sz="6" w:space="0"/>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总计</w:t>
            </w:r>
          </w:p>
        </w:tc>
      </w:tr>
      <w:tr>
        <w:tc>
          <w:tcPr>
            <w:tcW w:w="600" w:type="dxa"/>
            <w:tcBorders>
              <w:top w:val="nil"/>
              <w:left w:val="single" w:color="000000" w:sz="6" w:space="0"/>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default" w:ascii="Calibri" w:hAnsi="Calibri" w:eastAsia="Calibri" w:cs="Calibri"/>
                <w:i w:val="0"/>
                <w:iCs w:val="0"/>
                <w:caps w:val="0"/>
                <w:color w:val="000000"/>
                <w:spacing w:val="0"/>
                <w:sz w:val="19"/>
                <w:szCs w:val="19"/>
              </w:rPr>
              <w:t> </w:t>
            </w:r>
            <w:r>
              <w:rPr>
                <w:rFonts w:hint="eastAsia" w:ascii="宋体" w:hAnsi="宋体" w:eastAsia="宋体" w:cs="宋体"/>
                <w:i w:val="0"/>
                <w:iCs w:val="0"/>
                <w:caps w:val="0"/>
                <w:color w:val="000000"/>
                <w:spacing w:val="0"/>
                <w:sz w:val="19"/>
                <w:szCs w:val="19"/>
              </w:rPr>
              <w:t>0</w:t>
            </w:r>
          </w:p>
        </w:tc>
        <w:tc>
          <w:tcPr>
            <w:tcW w:w="60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r>
              <w:rPr>
                <w:rFonts w:hint="default" w:ascii="Calibri" w:hAnsi="Calibri" w:eastAsia="Calibri" w:cs="Calibri"/>
                <w:i w:val="0"/>
                <w:iCs w:val="0"/>
                <w:caps w:val="0"/>
                <w:color w:val="000000"/>
                <w:spacing w:val="0"/>
                <w:sz w:val="19"/>
                <w:szCs w:val="19"/>
              </w:rPr>
              <w:t> </w:t>
            </w:r>
          </w:p>
        </w:tc>
        <w:tc>
          <w:tcPr>
            <w:tcW w:w="60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r>
              <w:rPr>
                <w:rFonts w:hint="default" w:ascii="Calibri" w:hAnsi="Calibri" w:eastAsia="Calibri" w:cs="Calibri"/>
                <w:i w:val="0"/>
                <w:iCs w:val="0"/>
                <w:caps w:val="0"/>
                <w:color w:val="000000"/>
                <w:spacing w:val="0"/>
                <w:sz w:val="19"/>
                <w:szCs w:val="19"/>
              </w:rPr>
              <w:t> </w:t>
            </w:r>
          </w:p>
        </w:tc>
        <w:tc>
          <w:tcPr>
            <w:tcW w:w="60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r>
              <w:rPr>
                <w:rFonts w:hint="default" w:ascii="Calibri" w:hAnsi="Calibri" w:eastAsia="Calibri" w:cs="Calibri"/>
                <w:i w:val="0"/>
                <w:iCs w:val="0"/>
                <w:caps w:val="0"/>
                <w:color w:val="000000"/>
                <w:spacing w:val="0"/>
                <w:sz w:val="19"/>
                <w:szCs w:val="19"/>
              </w:rPr>
              <w:t> </w:t>
            </w:r>
          </w:p>
        </w:tc>
        <w:tc>
          <w:tcPr>
            <w:tcW w:w="66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w:t>
            </w:r>
            <w:r>
              <w:rPr>
                <w:rFonts w:hint="default" w:ascii="Calibri" w:hAnsi="Calibri" w:eastAsia="Calibri" w:cs="Calibri"/>
                <w:i w:val="0"/>
                <w:iCs w:val="0"/>
                <w:caps w:val="0"/>
                <w:color w:val="000000"/>
                <w:spacing w:val="0"/>
                <w:sz w:val="19"/>
                <w:szCs w:val="19"/>
              </w:rPr>
              <w:t> </w:t>
            </w:r>
          </w:p>
        </w:tc>
        <w:tc>
          <w:tcPr>
            <w:tcW w:w="555"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0 </w:t>
            </w:r>
          </w:p>
        </w:tc>
        <w:tc>
          <w:tcPr>
            <w:tcW w:w="60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0 </w:t>
            </w:r>
          </w:p>
        </w:tc>
        <w:tc>
          <w:tcPr>
            <w:tcW w:w="60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0 </w:t>
            </w:r>
          </w:p>
        </w:tc>
        <w:tc>
          <w:tcPr>
            <w:tcW w:w="60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0 </w:t>
            </w:r>
          </w:p>
        </w:tc>
        <w:tc>
          <w:tcPr>
            <w:tcW w:w="60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0 </w:t>
            </w:r>
          </w:p>
        </w:tc>
        <w:tc>
          <w:tcPr>
            <w:tcW w:w="60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0 </w:t>
            </w:r>
          </w:p>
        </w:tc>
        <w:tc>
          <w:tcPr>
            <w:tcW w:w="60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0 </w:t>
            </w:r>
          </w:p>
        </w:tc>
        <w:tc>
          <w:tcPr>
            <w:tcW w:w="60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0 </w:t>
            </w:r>
          </w:p>
        </w:tc>
        <w:tc>
          <w:tcPr>
            <w:tcW w:w="60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i w:val="0"/>
                <w:iCs w:val="0"/>
                <w:caps w:val="0"/>
                <w:color w:val="000000"/>
                <w:spacing w:val="0"/>
                <w:sz w:val="19"/>
                <w:szCs w:val="19"/>
              </w:rPr>
              <w:t>0 </w:t>
            </w:r>
          </w:p>
        </w:tc>
        <w:tc>
          <w:tcPr>
            <w:tcW w:w="600" w:type="dxa"/>
            <w:tcBorders>
              <w:top w:val="nil"/>
              <w:left w:val="nil"/>
              <w:bottom w:val="single" w:color="000000" w:sz="6" w:space="0"/>
              <w:right w:val="single" w:color="000000" w:sz="6" w:space="0"/>
            </w:tcBorders>
            <w:shd w:val="clear" w:color="auto" w:fill="E6F4FF"/>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i w:val="0"/>
                <w:iCs w:val="0"/>
                <w:caps w:val="0"/>
                <w:color w:val="000000"/>
                <w:spacing w:val="0"/>
                <w:sz w:val="24"/>
                <w:szCs w:val="24"/>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both"/>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4"/>
          <w:szCs w:val="24"/>
          <w:bdr w:val="none" w:color="auto" w:sz="0" w:space="0"/>
        </w:rPr>
        <w:t>五、存在的主要问题及改进情况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4"/>
          <w:szCs w:val="24"/>
          <w:bdr w:val="none" w:color="auto" w:sz="0" w:space="0"/>
        </w:rPr>
        <w:t>存在的问题：在政务公开的全面性、有效性和特色性方面，我局仍存在许多不足，公开内容需要进一步深化，信息公开的有效性、便民性需要进一步提高，对信息公开工作人员的技术培训还有待进一步加强等。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4"/>
          <w:szCs w:val="24"/>
          <w:bdr w:val="none" w:color="auto" w:sz="0" w:space="0"/>
        </w:rPr>
        <w:t>改进的措施：一是要将继续切实强化政务公开工作制度建设，采取有效措施，不断规范工作程序，创新工作方式，使政务公开工作在制度化、规范化方面有新的突破。二是建立培训工作机制，组织信息公开工作人员积极参加政府组织的专业培训，提高信息员的政策把握、解疑释惑和回应引导能力，努力提升信息员的综合信息的处置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both"/>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4"/>
          <w:szCs w:val="24"/>
          <w:bdr w:val="none" w:color="auto" w:sz="0" w:space="0"/>
        </w:rPr>
        <w:t>六、其他需要报告的事项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4"/>
          <w:szCs w:val="24"/>
          <w:bdr w:val="none" w:color="auto" w:sz="0" w:space="0"/>
        </w:rPr>
        <w:t>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CC7EA8"/>
    <w:rsid w:val="62CC7E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2021-04-27T08:00:00Z</dcterms:created>
  <dc:creator>Administrator</dc:creator>
  <cp:lastModifiedBy>Administrator</cp:lastModifiedBy>
  <dcterms:modified xsi:type="dcterms:W3CDTF">2021-04-27T08:00:34Z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BBFAC83683CB4CE49D5489ECFEFC8346</vt:lpwstr>
  </property>
</Properties>
</file>